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C96F56" w:sz="16"/>
        </w:pBdr>
        <w:bidi w:val="false"/>
        <w:spacing w:after="240"/>
      </w:pPr>
      <w:r>
        <w:rPr>
          <w:rFonts w:ascii="Noto Sans" w:cs="Noto Sans" w:eastAsia="Noto Sans" w:hAnsi="Noto Sans"/>
          <w:b/>
          <w:bCs/>
          <w:color w:val="172128"/>
          <w:sz w:val="40"/>
          <w:szCs w:val="40"/>
          <w:rtl w:val="false"/>
        </w:rPr>
        <w:t xml:space="preserve">PDF digitalizado</w:t>
      </w:r>
    </w:p>
    <w:p>
      <w:pPr>
        <w:bidi w:val="false"/>
        <w:spacing w:after="130" w:line="300"/>
      </w:pPr>
      <w:r>
        <w:rPr>
          <w:rFonts w:ascii="Noto Sans" w:cs="Noto Sans" w:eastAsia="Noto Sans" w:hAnsi="Noto Sans"/>
          <w:sz w:val="21"/>
          <w:szCs w:val="21"/>
          <w:u w:val="single"/>
          <w:rtl w:val="false"/>
        </w:rPr>
        <w:t xml:space="preserve">Reunião de lançamento do site</w:t>
      </w:r>
    </w:p>
    <w:p>
      <w:pPr>
        <w:bidi w:val="false"/>
        <w:spacing w:after="130" w:line="300"/>
      </w:pPr>
      <w:r>
        <w:rPr>
          <w:rFonts w:ascii="Noto Sans" w:cs="Noto Sans" w:eastAsia="Noto Sans" w:hAnsi="Noto Sans"/>
          <w:sz w:val="21"/>
          <w:szCs w:val="21"/>
          <w:rtl w:val="false"/>
        </w:rPr>
        <w:t xml:space="preserve">19 de setembro de 2026</w:t>
      </w:r>
    </w:p>
    <w:p>
      <w:pPr>
        <w:bidi w:val="false"/>
        <w:spacing w:after="130" w:line="300"/>
      </w:pPr>
      <w:r>
        <w:rPr>
          <w:rFonts w:ascii="Noto Sans" w:cs="Noto Sans" w:eastAsia="Noto Sans" w:hAnsi="Noto Sans"/>
          <w:sz w:val="21"/>
          <w:szCs w:val="21"/>
          <w:u w:val="single"/>
          <w:rtl w:val="false"/>
        </w:rPr>
        <w:t xml:space="preserve">Decisões</w:t>
      </w:r>
    </w:p>
    <w:p>
      <w:pPr>
        <w:bidi w:val="false"/>
        <w:spacing w:after="130" w:line="300"/>
      </w:pPr>
      <w:r>
        <w:rPr>
          <w:rFonts w:ascii="Noto Sans" w:cs="Noto Sans" w:eastAsia="Noto Sans" w:hAnsi="Noto Sans"/>
          <w:sz w:val="21"/>
          <w:szCs w:val="21"/>
          <w:rtl w:val="false"/>
        </w:rPr>
        <w:t xml:space="preserve">Manter o formulário de cadastro curto.</w:t>
      </w:r>
      <w:r>
        <w:br/>
        <w:t xml:space="preserve"/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Mostrar os preços antes do pagamento.</w:t>
      </w:r>
    </w:p>
    <w:p>
      <w:pPr>
        <w:bidi w:val="false"/>
        <w:spacing w:after="130" w:line="300"/>
      </w:pPr>
      <w:r>
        <w:rPr>
          <w:rFonts w:ascii="Noto Sans" w:cs="Noto Sans" w:eastAsia="Noto Sans" w:hAnsi="Noto Sans"/>
          <w:sz w:val="21"/>
          <w:szCs w:val="21"/>
          <w:u w:val="single"/>
          <w:rtl w:val="false"/>
        </w:rPr>
        <w:t xml:space="preserve">Tarefas</w:t>
      </w:r>
    </w:p>
    <w:p>
      <w:pPr>
        <w:pStyle w:val="ListParagraph"/>
        <w:numPr>
          <w:ilvl w:val="0"/>
          <w:numId w:val="2"/>
        </w:numPr>
        <w:bidi w:val="false"/>
        <w:spacing w:after="130" w:line="300"/>
        <w:ind w:left="360" w:hanging="220"/>
      </w:pPr>
      <w:r>
        <w:rPr>
          <w:rFonts w:ascii="Noto Sans" w:cs="Noto Sans" w:eastAsia="Noto Sans" w:hAnsi="Noto Sans"/>
          <w:sz w:val="21"/>
          <w:szCs w:val="21"/>
          <w:rtl w:val="false"/>
        </w:rPr>
        <w:t xml:space="preserve">Maya: terminar o e-mail de boas-vindas</w:t>
      </w:r>
    </w:p>
    <w:p>
      <w:pPr>
        <w:pStyle w:val="ListParagraph"/>
        <w:numPr>
          <w:ilvl w:val="0"/>
          <w:numId w:val="2"/>
        </w:numPr>
        <w:bidi w:val="false"/>
        <w:spacing w:after="130" w:line="300"/>
        <w:ind w:left="360" w:hanging="220"/>
      </w:pPr>
      <w:r>
        <w:rPr>
          <w:rFonts w:ascii="Noto Sans" w:cs="Noto Sans" w:eastAsia="Noto Sans" w:hAnsi="Noto Sans"/>
          <w:sz w:val="21"/>
          <w:szCs w:val="21"/>
          <w:rtl w:val="false"/>
        </w:rPr>
        <w:t xml:space="preserve">Alex: testar o envio pelo celular</w:t>
      </w:r>
    </w:p>
    <w:p>
      <w:pPr>
        <w:pStyle w:val="ListParagraph"/>
        <w:numPr>
          <w:ilvl w:val="0"/>
          <w:numId w:val="2"/>
        </w:numPr>
        <w:bidi w:val="false"/>
        <w:spacing w:after="130" w:line="300"/>
        <w:ind w:left="360" w:hanging="220"/>
      </w:pPr>
      <w:r>
        <w:rPr>
          <w:rFonts w:ascii="Noto Sans" w:cs="Noto Sans" w:eastAsia="Noto Sans" w:hAnsi="Noto Sans"/>
          <w:sz w:val="21"/>
          <w:szCs w:val="21"/>
          <w:rtl w:val="false"/>
        </w:rPr>
        <w:t xml:space="preserve">Sam: revisar a página de ajuda</w:t>
      </w:r>
    </w:p>
    <w:p>
      <w:pPr>
        <w:bidi w:val="false"/>
        <w:spacing w:after="130" w:line="300"/>
      </w:pPr>
      <w:r>
        <w:rPr>
          <w:rFonts w:ascii="Noto Sans" w:cs="Noto Sans" w:eastAsia="Noto Sans" w:hAnsi="Noto Sans"/>
          <w:sz w:val="21"/>
          <w:szCs w:val="21"/>
          <w:u w:val="single"/>
          <w:rtl w:val="false"/>
        </w:rPr>
        <w:t xml:space="preserve">Próxima revisão: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 sexta-feira às 11h</w:t>
      </w:r>
      <w:r>
        <w:br/>
        <w:t xml:space="preserve"/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Trazer comentários dos cinco primeiros usuários.</w:t>
      </w:r>
    </w:p>
    <w:p>
      <w:pPr>
        <w:bidi w:val="false"/>
        <w:spacing w:after="130" w:line="300"/>
      </w:pPr>
      <w:r>
        <w:rPr>
          <w:rFonts w:ascii="Noto Sans" w:cs="Noto Sans" w:eastAsia="Noto Sans" w:hAnsi="Noto Sans"/>
          <w:sz w:val="21"/>
          <w:szCs w:val="21"/>
          <w:rtl w:val="false"/>
        </w:rPr>
        <w:t xml:space="preserve">Documento de demonstração</w:t>
      </w:r>
    </w:p>
    <w:p>
      <w:pPr>
        <w:pageBreakBefore/>
      </w:pPr>
    </w:p>
    <w:p>
      <w:pPr>
        <w:pStyle w:val="Heading1"/>
        <w:bidi w:val="false"/>
        <w:spacing w:after="90" w:before="240"/>
      </w:pPr>
      <w:r>
        <w:rPr>
          <w:rFonts w:ascii="Noto Sans" w:cs="Noto Sans" w:eastAsia="Noto Sans" w:hAnsi="Noto Sans"/>
          <w:b/>
          <w:bCs/>
          <w:sz w:val="21"/>
          <w:szCs w:val="21"/>
          <w:rtl w:val="false"/>
        </w:rPr>
        <w:t xml:space="preserve">Revisão de biologia</w:t>
      </w:r>
    </w:p>
    <w:p>
      <w:pPr>
        <w:bidi w:val="false"/>
        <w:spacing w:after="130" w:line="300"/>
      </w:pPr>
      <w:r>
        <w:rPr>
          <w:rFonts w:ascii="Noto Sans" w:cs="Noto Sans" w:eastAsia="Noto Sans" w:hAnsi="Noto Sans"/>
          <w:sz w:val="21"/>
          <w:szCs w:val="21"/>
          <w:rtl w:val="false"/>
        </w:rPr>
        <w:t xml:space="preserve">Membranas celulares</w:t>
      </w:r>
    </w:p>
    <w:p>
      <w:pPr>
        <w:pStyle w:val="Heading3"/>
        <w:bidi w:val="false"/>
        <w:spacing w:after="90" w:before="180"/>
      </w:pPr>
      <w:r>
        <w:rPr>
          <w:rFonts w:ascii="Noto Sans" w:cs="Noto Sans" w:eastAsia="Noto Sans" w:hAnsi="Noto Sans"/>
          <w:b/>
          <w:bCs/>
          <w:sz w:val="21"/>
          <w:szCs w:val="21"/>
          <w:rtl w:val="false"/>
        </w:rPr>
        <w:t xml:space="preserve">Estrutura</w:t>
      </w:r>
    </w:p>
    <w:p>
      <w:pPr>
        <w:bidi w:val="false"/>
        <w:spacing w:after="130" w:line="300"/>
      </w:pPr>
      <w:r>
        <w:rPr>
          <w:rFonts w:ascii="Noto Sans" w:cs="Noto Sans" w:eastAsia="Noto Sans" w:hAnsi="Noto Sans"/>
          <w:sz w:val="21"/>
          <w:szCs w:val="21"/>
          <w:rtl w:val="false"/>
        </w:rPr>
        <w:t xml:space="preserve">Uma bicamada de fosfolipídios envolve a célula.</w:t>
      </w:r>
    </w:p>
    <w:p>
      <w:pPr>
        <w:bidi w:val="false"/>
        <w:spacing w:after="130" w:line="300"/>
      </w:pPr>
      <w:r>
        <w:rPr>
          <w:rFonts w:ascii="Noto Sans" w:cs="Noto Sans" w:eastAsia="Noto Sans" w:hAnsi="Noto Sans"/>
          <w:sz w:val="21"/>
          <w:szCs w:val="21"/>
          <w:rtl w:val="false"/>
        </w:rPr>
        <w:t xml:space="preserve">As proteínas ajudam as substâncias a atravessar a membrana.</w:t>
      </w:r>
    </w:p>
    <w:p>
      <w:pPr>
        <w:pStyle w:val="Heading3"/>
        <w:bidi w:val="false"/>
        <w:spacing w:after="90" w:before="180"/>
      </w:pPr>
      <w:r>
        <w:rPr>
          <w:rFonts w:ascii="Noto Sans" w:cs="Noto Sans" w:eastAsia="Noto Sans" w:hAnsi="Noto Sans"/>
          <w:b/>
          <w:bCs/>
          <w:sz w:val="21"/>
          <w:szCs w:val="21"/>
          <w:rtl w:val="false"/>
        </w:rPr>
        <w:t xml:space="preserve">Transporte</w:t>
      </w:r>
    </w:p>
    <w:p>
      <w:pPr>
        <w:bidi w:val="false"/>
        <w:spacing w:after="130" w:line="300"/>
      </w:pPr>
      <w:r>
        <w:rPr>
          <w:rFonts w:ascii="Noto Sans" w:cs="Noto Sans" w:eastAsia="Noto Sans" w:hAnsi="Noto Sans"/>
          <w:sz w:val="21"/>
          <w:szCs w:val="21"/>
          <w:rtl w:val="false"/>
        </w:rPr>
        <w:t xml:space="preserve">Difusão: partículas se movem a favor do gradiente de concentração.</w:t>
      </w:r>
    </w:p>
    <w:p>
      <w:pPr>
        <w:bidi w:val="false"/>
        <w:spacing w:after="130" w:line="300"/>
      </w:pPr>
      <w:r>
        <w:rPr>
          <w:rFonts w:ascii="Noto Sans" w:cs="Noto Sans" w:eastAsia="Noto Sans" w:hAnsi="Noto Sans"/>
          <w:sz w:val="21"/>
          <w:szCs w:val="21"/>
          <w:rtl w:val="false"/>
        </w:rPr>
        <w:t xml:space="preserve">Osmose: a água atravessa uma membrana parcialmente permeável.</w:t>
      </w:r>
    </w:p>
    <w:p>
      <w:pPr>
        <w:bidi w:val="false"/>
        <w:spacing w:after="130" w:line="300"/>
      </w:pPr>
      <w:r>
        <w:rPr>
          <w:rFonts w:ascii="Noto Sans" w:cs="Noto Sans" w:eastAsia="Noto Sans" w:hAnsi="Noto Sans"/>
          <w:sz w:val="21"/>
          <w:szCs w:val="21"/>
          <w:rtl w:val="false"/>
        </w:rPr>
        <w:t xml:space="preserve">O transporte ativo requer energia.</w:t>
      </w:r>
    </w:p>
    <w:p>
      <w:pPr>
        <w:pStyle w:val="Heading3"/>
        <w:bidi w:val="false"/>
        <w:spacing w:after="90" w:before="180"/>
      </w:pPr>
      <w:r>
        <w:rPr>
          <w:rFonts w:ascii="Noto Sans" w:cs="Noto Sans" w:eastAsia="Noto Sans" w:hAnsi="Noto Sans"/>
          <w:b/>
          <w:bCs/>
          <w:sz w:val="21"/>
          <w:szCs w:val="21"/>
          <w:rtl w:val="false"/>
        </w:rPr>
        <w:t xml:space="preserve">Lembre-se</w:t>
      </w:r>
    </w:p>
    <w:p>
      <w:pPr>
        <w:bidi w:val="false"/>
        <w:spacing w:after="130" w:line="300"/>
      </w:pPr>
      <w:r>
        <w:rPr>
          <w:rFonts w:ascii="Noto Sans" w:cs="Noto Sans" w:eastAsia="Noto Sans" w:hAnsi="Noto Sans"/>
          <w:sz w:val="21"/>
          <w:szCs w:val="21"/>
          <w:rtl w:val="false"/>
        </w:rPr>
        <w:t xml:space="preserve">Compare a difusão e o transporte ativo.
Explique por que a área de superfície importa.</w:t>
      </w:r>
    </w:p>
    <w:p>
      <w:pPr>
        <w:bidi w:val="false"/>
        <w:spacing w:after="130" w:line="300"/>
      </w:pPr>
      <w:r>
        <w:rPr>
          <w:rFonts w:ascii="Noto Sans" w:cs="Noto Sans" w:eastAsia="Noto Sans" w:hAnsi="Noto Sans"/>
          <w:sz w:val="21"/>
          <w:szCs w:val="21"/>
          <w:rtl w:val="false"/>
        </w:rPr>
        <w:t xml:space="preserve">Documento de demonstração</w:t>
      </w:r>
    </w:p>
    <w:sectPr>
      <w:pgSz w:w="11906" w:h="16838" w:orient="portrait"/>
      <w:pgMar w:top="760" w:right="900" w:bottom="76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start"/>
    </w:lvl>
    <w:lvl w:ilvl="1" w15:tentative="1">
      <w:start w:val="1"/>
      <w:numFmt w:val="bullet"/>
      <w:lvlText w:val="•"/>
      <w:lvlJc w:val="start"/>
    </w:lvl>
    <w:lvl w:ilvl="2" w15:tentative="1">
      <w:start w:val="1"/>
      <w:numFmt w:val="bullet"/>
      <w:lvlText w:val="•"/>
      <w:lvlJc w:val="start"/>
    </w:lvl>
    <w:lvl w:ilvl="3" w15:tentative="1">
      <w:start w:val="1"/>
      <w:numFmt w:val="bullet"/>
      <w:lvlText w:val="•"/>
      <w:lvlJc w:val="start"/>
    </w:lvl>
    <w:lvl w:ilvl="4" w15:tentative="1">
      <w:start w:val="1"/>
      <w:numFmt w:val="bullet"/>
      <w:lvlText w:val="•"/>
      <w:lvlJc w:val="start"/>
    </w:lvl>
    <w:lvl w:ilvl="5" w15:tentative="1">
      <w:start w:val="1"/>
      <w:numFmt w:val="bullet"/>
      <w:lvlText w:val="•"/>
      <w:lvlJc w:val="start"/>
    </w:lvl>
    <w:lvl w:ilvl="6" w15:tentative="1">
      <w:start w:val="1"/>
      <w:numFmt w:val="bullet"/>
      <w:lvlText w:val="•"/>
      <w:lvlJc w:val="start"/>
    </w:lvl>
    <w:lvl w:ilvl="7" w15:tentative="1">
      <w:start w:val="1"/>
      <w:numFmt w:val="bullet"/>
      <w:lvlText w:val="•"/>
      <w:lvlJc w:val="start"/>
    </w:lvl>
    <w:lvl w:ilvl="8" w15:tentative="1">
      <w:start w:val="1"/>
      <w:numFmt w:val="bullet"/>
      <w:lvlText w:val="•"/>
      <w:lvlJc w:val="start"/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172128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90" w:before="240"/>
    </w:pPr>
    <w:rPr>
      <w:b/>
      <w:bCs/>
      <w:color w:val="172128"/>
      <w:sz w:val="28"/>
      <w:szCs w:val="28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72128"/>
      <w:sz w:val="25"/>
      <w:szCs w:val="25"/>
    </w:rPr>
  </w:style>
  <w:style w:type="paragraph" w:styleId="Heading3">
    <w:name w:val="Heading 3"/>
    <w:basedOn w:val="Normal"/>
    <w:next w:val="Normal"/>
    <w:qFormat/>
    <w:pPr>
      <w:spacing w:after="70" w:before="180"/>
    </w:pPr>
    <w:rPr>
      <w:b/>
      <w:bCs/>
      <w:color w:val="172128"/>
      <w:sz w:val="23"/>
      <w:szCs w:val="23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PDF digitalizado</dc:title>
  <dc:creator>Un-named</dc:creator>
  <cp:lastModifiedBy>Un-named</cp:lastModifiedBy>
  <cp:revision>1</cp:revision>
  <dcterms:created xsi:type="dcterms:W3CDTF">2026-10-24T08:51:01.827Z</dcterms:created>
  <dcterms:modified xsi:type="dcterms:W3CDTF">2026-10-24T08:51:01.827Z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